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jc w:val="center"/>
        <w:rPr>
          <w:color w:val="000000"/>
        </w:rPr>
      </w:pPr>
      <w:r>
        <w:rPr>
          <w:color w:val="000000"/>
        </w:rPr>
      </w:r>
      <w:r/>
    </w:p>
    <w:p>
      <w:pPr>
        <w:pStyle w:val="834"/>
        <w:jc w:val="center"/>
        <w:rPr>
          <w:color w:val="000000"/>
        </w:rPr>
      </w:pPr>
      <w:r>
        <w:rPr>
          <w:color w:val="000000"/>
        </w:rPr>
      </w:r>
      <w:r/>
    </w:p>
    <w:p>
      <w:pPr>
        <w:pStyle w:val="834"/>
        <w:jc w:val="center"/>
        <w:rPr>
          <w:color w:val="000000"/>
        </w:rPr>
      </w:pPr>
      <w:r>
        <w:rPr>
          <w:color w:val="000000"/>
        </w:rPr>
      </w:r>
      <w:r/>
    </w:p>
    <w:p>
      <w:pPr>
        <w:pStyle w:val="834"/>
        <w:jc w:val="center"/>
        <w:rPr>
          <w:color w:val="000000"/>
        </w:rPr>
      </w:pPr>
      <w:r>
        <w:rPr>
          <w:color w:val="000000"/>
        </w:rPr>
      </w:r>
      <w:r/>
    </w:p>
    <w:p>
      <w:pPr>
        <w:pStyle w:val="834"/>
        <w:jc w:val="center"/>
        <w:rPr>
          <w:color w:val="000000"/>
        </w:rPr>
      </w:pPr>
      <w:r>
        <w:rPr>
          <w:color w:val="000000"/>
        </w:rPr>
      </w:r>
      <w:r/>
    </w:p>
    <w:p>
      <w:pPr>
        <w:pStyle w:val="834"/>
        <w:jc w:val="center"/>
        <w:rPr>
          <w:color w:val="000000"/>
        </w:rPr>
      </w:pPr>
      <w:r>
        <w:rPr>
          <w:color w:val="000000"/>
        </w:rPr>
      </w:r>
      <w:r/>
    </w:p>
    <w:p>
      <w:pPr>
        <w:pStyle w:val="834"/>
        <w:jc w:val="center"/>
        <w:rPr>
          <w:color w:val="000000"/>
        </w:rPr>
      </w:pPr>
      <w:r>
        <w:rPr>
          <w:color w:val="000000"/>
        </w:rPr>
      </w:r>
      <w:r/>
    </w:p>
    <w:p>
      <w:pPr>
        <w:pStyle w:val="834"/>
        <w:jc w:val="center"/>
        <w:rPr>
          <w:color w:val="000000"/>
        </w:rPr>
      </w:pPr>
      <w:r>
        <w:rPr>
          <w:color w:val="000000"/>
        </w:rPr>
      </w:r>
      <w:r/>
    </w:p>
    <w:p>
      <w:pPr>
        <w:pStyle w:val="834"/>
        <w:jc w:val="center"/>
        <w:rPr>
          <w:color w:val="000000"/>
        </w:rPr>
      </w:pPr>
      <w:r>
        <w:rPr>
          <w:color w:val="000000"/>
        </w:rPr>
      </w:r>
      <w:r/>
    </w:p>
    <w:p>
      <w:pPr>
        <w:pStyle w:val="834"/>
        <w:jc w:val="center"/>
        <w:rPr>
          <w:color w:val="000000"/>
          <w:lang w:val="en-US"/>
        </w:rPr>
      </w:pPr>
      <w:r>
        <w:rPr>
          <w:color w:val="000000"/>
          <w:lang w:val="en-US"/>
        </w:rPr>
      </w:r>
      <w:r/>
    </w:p>
    <w:p>
      <w:pPr>
        <w:pStyle w:val="834"/>
        <w:jc w:val="center"/>
        <w:rPr>
          <w:color w:val="000000"/>
          <w:lang w:val="en-US"/>
        </w:rPr>
      </w:pPr>
      <w:r>
        <w:rPr>
          <w:color w:val="000000"/>
          <w:lang w:val="en-US"/>
        </w:rPr>
      </w:r>
      <w:r/>
    </w:p>
    <w:p>
      <w:pPr>
        <w:pStyle w:val="834"/>
        <w:jc w:val="center"/>
        <w:rPr>
          <w:color w:val="000000"/>
          <w:lang w:val="en-US"/>
        </w:rPr>
      </w:pPr>
      <w:r>
        <w:rPr>
          <w:color w:val="000000"/>
          <w:lang w:val="en-US"/>
        </w:rPr>
      </w:r>
      <w:r/>
    </w:p>
    <w:p>
      <w:pPr>
        <w:pStyle w:val="834"/>
        <w:jc w:val="center"/>
        <w:rPr>
          <w:color w:val="000000"/>
        </w:rPr>
      </w:pPr>
      <w:r>
        <w:rPr>
          <w:color w:val="000000"/>
        </w:rPr>
      </w:r>
      <w:r/>
    </w:p>
    <w:p>
      <w:pPr>
        <w:pStyle w:val="834"/>
        <w:jc w:val="center"/>
        <w:rPr>
          <w:color w:val="000000"/>
        </w:rPr>
      </w:pPr>
      <w:r>
        <w:rPr>
          <w:color w:val="000000"/>
        </w:rPr>
      </w:r>
      <w:r/>
    </w:p>
    <w:p>
      <w:pPr>
        <w:pStyle w:val="834"/>
        <w:jc w:val="center"/>
        <w:rPr>
          <w:color w:val="000000"/>
        </w:rPr>
      </w:pPr>
      <w:r>
        <w:rPr>
          <w:color w:val="000000"/>
        </w:rPr>
      </w:r>
      <w:r/>
    </w:p>
    <w:p>
      <w:pPr>
        <w:pStyle w:val="83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 предоставлении государственному предприятию Еврейской автономной области «Ресурс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 авансирования компенсации части потерь в доходах, возникших в связи с установлением ограничения роста платы граждан за коммунальные услуги на территор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ии Еврейской автономной области</w:t>
      </w:r>
      <w:r/>
    </w:p>
    <w:p>
      <w:pPr>
        <w:pStyle w:val="83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3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36"/>
        <w:ind w:firstLine="708"/>
        <w:jc w:val="both"/>
        <w:spacing w:line="276" w:lineRule="auto"/>
        <w:rPr>
          <w:rFonts w:ascii="Times New Roman" w:hAnsi="Times New Roman" w:eastAsia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 w:eastAsia="Times New Roman"/>
          <w:bCs/>
          <w:color w:val="332e2d"/>
          <w:spacing w:val="2"/>
          <w:sz w:val="28"/>
          <w:szCs w:val="28"/>
        </w:rPr>
        <w:t xml:space="preserve">В соответствии с Порядком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предоставления компенсации организациям, предоставляющим гражданам коммунальные услуги, в том числе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ресурсоснабжающим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организациям, с которыми заключены прямые до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говор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ы,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области, утвержденным постановлением правительства Еврейской автономной области от 21.01.2014 № 2-пп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br/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«О Порядке предоставления компенсации организациям, предоставляющим гражданам коммунальные услуги, в том числе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ресурсоснабжающим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организациям, с которыми заключены прямые договоры,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области»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, на основании обращения государственного предприятия Еврейской автономной области «Ресурс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» от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09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01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.2024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br/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№ 1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и в целях бесперебойного прохождения в Еврейской автономной области отопитель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ного периода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2023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/2024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года:</w:t>
      </w:r>
      <w:r/>
    </w:p>
    <w:p>
      <w:pPr>
        <w:pStyle w:val="836"/>
        <w:ind w:firstLine="708"/>
        <w:jc w:val="both"/>
        <w:spacing w:line="276" w:lineRule="auto"/>
        <w:rPr>
          <w:rFonts w:ascii="Times New Roman" w:hAnsi="Times New Roman" w:eastAsia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1.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Разрешить департаменту строительства и жилищно-коммунального хозяйства правительства Еврейской автономной области предоставить государственному предприятию Еврейской автономной области «Ресурс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» на три месяца начиная с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января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2024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года авансирование компенсации части потерь в доходах, возникших в связи с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установлением ограничения роста платы граждан за коммунальные услуги на территории Еврейской автономной области.</w:t>
      </w:r>
      <w:r/>
    </w:p>
    <w:p>
      <w:pPr>
        <w:pStyle w:val="836"/>
        <w:ind w:firstLine="708"/>
        <w:jc w:val="both"/>
        <w:spacing w:line="276" w:lineRule="auto"/>
        <w:rPr>
          <w:rFonts w:ascii="Times New Roman" w:hAnsi="Times New Roman" w:eastAsia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2.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Департаменту строительства и жилищно-коммунального хозяйства правительства Еврейской автономной области заключить с государственным предприятием Еврейской автономной области «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Ресурс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» соглашение о предоставлении авансирования компенсации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области.</w:t>
      </w:r>
      <w:r/>
    </w:p>
    <w:p>
      <w:pPr>
        <w:pStyle w:val="836"/>
        <w:ind w:firstLine="708"/>
        <w:jc w:val="both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3. Настоящее распоряжение вступает в силу со дня его подписания.</w:t>
      </w:r>
      <w:r/>
    </w:p>
    <w:p>
      <w:pPr>
        <w:pStyle w:val="836"/>
        <w:jc w:val="both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36"/>
        <w:jc w:val="both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36"/>
        <w:jc w:val="both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36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ind w:right="72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</w:r>
      <w:r/>
    </w:p>
    <w:p>
      <w:pPr>
        <w:pStyle w:val="836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9855641"/>
      <w:docPartObj>
        <w:docPartGallery w:val="Page Numbers (Top of Page)"/>
        <w:docPartUnique w:val="true"/>
      </w:docPartObj>
      <w:rPr/>
    </w:sdtPr>
    <w:sdtContent>
      <w:p>
        <w:pPr>
          <w:pStyle w:val="83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basedOn w:val="830"/>
    <w:link w:val="837"/>
    <w:uiPriority w:val="99"/>
  </w:style>
  <w:style w:type="character" w:styleId="682">
    <w:name w:val="Footer Char"/>
    <w:basedOn w:val="830"/>
    <w:link w:val="839"/>
    <w:uiPriority w:val="99"/>
  </w:style>
  <w:style w:type="paragraph" w:styleId="683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839"/>
    <w:uiPriority w:val="99"/>
  </w:style>
  <w:style w:type="table" w:styleId="685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 w:customStyle="1">
    <w:name w:val="ConsPlusNormal"/>
    <w:pPr>
      <w:widowControl w:val="off"/>
    </w:pPr>
    <w:rPr>
      <w:rFonts w:eastAsia="Times New Roman" w:cs="Calibri"/>
      <w:sz w:val="22"/>
    </w:rPr>
  </w:style>
  <w:style w:type="paragraph" w:styleId="834" w:customStyle="1">
    <w:name w:val="ConsPlusTitle"/>
    <w:pPr>
      <w:widowControl w:val="off"/>
    </w:pPr>
    <w:rPr>
      <w:rFonts w:eastAsia="Times New Roman" w:cs="Calibri"/>
      <w:b/>
      <w:sz w:val="22"/>
    </w:rPr>
  </w:style>
  <w:style w:type="paragraph" w:styleId="835" w:customStyle="1">
    <w:name w:val="ConsPlusTitlePage"/>
    <w:pPr>
      <w:widowControl w:val="off"/>
    </w:pPr>
    <w:rPr>
      <w:rFonts w:ascii="Tahoma" w:hAnsi="Tahoma" w:eastAsia="Times New Roman" w:cs="Tahoma"/>
    </w:rPr>
  </w:style>
  <w:style w:type="paragraph" w:styleId="836">
    <w:name w:val="No Spacing"/>
    <w:uiPriority w:val="1"/>
    <w:qFormat/>
    <w:rPr>
      <w:sz w:val="22"/>
      <w:szCs w:val="22"/>
      <w:lang w:eastAsia="en-US"/>
    </w:rPr>
  </w:style>
  <w:style w:type="paragraph" w:styleId="837">
    <w:name w:val="Header"/>
    <w:basedOn w:val="829"/>
    <w:link w:val="83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8" w:customStyle="1">
    <w:name w:val="Верхний колонтитул Знак"/>
    <w:basedOn w:val="830"/>
    <w:link w:val="837"/>
    <w:uiPriority w:val="99"/>
    <w:rPr>
      <w:sz w:val="22"/>
      <w:szCs w:val="22"/>
      <w:lang w:eastAsia="en-US"/>
    </w:rPr>
  </w:style>
  <w:style w:type="paragraph" w:styleId="839">
    <w:name w:val="Footer"/>
    <w:basedOn w:val="829"/>
    <w:link w:val="84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0" w:customStyle="1">
    <w:name w:val="Нижний колонтитул Знак"/>
    <w:basedOn w:val="830"/>
    <w:link w:val="839"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ADA52-78DE-4DFF-93FD-05A1CDD2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Ольга Леонидовна</dc:creator>
  <cp:revision>8</cp:revision>
  <dcterms:created xsi:type="dcterms:W3CDTF">2023-01-17T06:39:00Z</dcterms:created>
  <dcterms:modified xsi:type="dcterms:W3CDTF">2024-01-10T04:38:18Z</dcterms:modified>
</cp:coreProperties>
</file>